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988" w:rsidRPr="00635988" w:rsidRDefault="00635988" w:rsidP="00635988">
      <w:pPr>
        <w:rPr>
          <w:b/>
          <w:u w:val="single"/>
        </w:rPr>
      </w:pPr>
      <w:r>
        <w:rPr>
          <w:b/>
          <w:u w:val="single"/>
        </w:rPr>
        <w:t>Otto Bremer Trust</w:t>
      </w:r>
      <w:bookmarkStart w:id="0" w:name="_GoBack"/>
      <w:bookmarkEnd w:id="0"/>
    </w:p>
    <w:p w:rsidR="00635988" w:rsidRDefault="00635988" w:rsidP="00635988"/>
    <w:p w:rsidR="00635988" w:rsidRDefault="00635988" w:rsidP="00635988">
      <w:r>
        <w:t>The MCTHV was awarded</w:t>
      </w:r>
      <w:r>
        <w:t xml:space="preserve"> financial support </w:t>
      </w:r>
      <w:r>
        <w:t xml:space="preserve">from Otto Bremer Trust </w:t>
      </w:r>
      <w:r>
        <w:t xml:space="preserve">to 1) consistently engage greater Minnesota communities in our shared work, 2) help build the capacity of home visiting program providers deliver high quality services, and 3) better connect home visiting programs with early childhood providers regionally and/or statewide. </w:t>
      </w:r>
    </w:p>
    <w:p w:rsidR="00635988" w:rsidRDefault="00635988" w:rsidP="00635988"/>
    <w:p w:rsidR="00635988" w:rsidRDefault="00635988" w:rsidP="00635988">
      <w:r>
        <w:t>The Coalition will define success and measurement of success as outlined below.</w:t>
      </w:r>
    </w:p>
    <w:p w:rsidR="00635988" w:rsidRDefault="00635988" w:rsidP="00635988"/>
    <w:p w:rsidR="00635988" w:rsidRDefault="00635988" w:rsidP="00635988">
      <w:r>
        <w:t>Outcome 1: Increased knowledge and awareness of nonprofit, public and philanthropic organizations supporting home visiting services.</w:t>
      </w:r>
    </w:p>
    <w:p w:rsidR="00635988" w:rsidRDefault="00635988" w:rsidP="00635988">
      <w:r>
        <w:t>Measurement 1: Home visiting providers report increased knowledge of community, regional, or statewide early childhood resources.</w:t>
      </w:r>
    </w:p>
    <w:p w:rsidR="00635988" w:rsidRDefault="00635988" w:rsidP="00635988"/>
    <w:p w:rsidR="00635988" w:rsidRDefault="00635988" w:rsidP="00635988">
      <w:r>
        <w:t>Outcome 2: Increased collaboration and/or coordination among home visiting and/or early childhood service providers.</w:t>
      </w:r>
    </w:p>
    <w:p w:rsidR="00635988" w:rsidRDefault="00635988" w:rsidP="00635988">
      <w:r>
        <w:t>Measurement 2: Home visiting providers and/or stakeholders report increased collaboration and/or coordination among home visiting and/or early childhood service providers in their community.</w:t>
      </w:r>
    </w:p>
    <w:p w:rsidR="00635988" w:rsidRDefault="00635988" w:rsidP="00635988"/>
    <w:p w:rsidR="00635988" w:rsidRDefault="00635988" w:rsidP="00635988">
      <w:r>
        <w:t>Outcome 3: Increased participation from Greater Minnesota in Coalition activities including the Coalition listserv, quarterly meetings, and utilization of training resources.</w:t>
      </w:r>
    </w:p>
    <w:p w:rsidR="00635988" w:rsidRDefault="00635988" w:rsidP="00635988">
      <w:r>
        <w:t>Measurement 3: Data shows increased participation from Greater Minnesota in Coalition activities.</w:t>
      </w:r>
    </w:p>
    <w:p w:rsidR="00635988" w:rsidRDefault="00635988" w:rsidP="00635988"/>
    <w:p w:rsidR="00635988" w:rsidRDefault="00635988" w:rsidP="00635988">
      <w:r>
        <w:t>The Coalition will track the following outputs related to this proposal.</w:t>
      </w:r>
    </w:p>
    <w:p w:rsidR="00635988" w:rsidRDefault="00635988" w:rsidP="00635988"/>
    <w:p w:rsidR="00635988" w:rsidRDefault="00635988" w:rsidP="00635988">
      <w:pPr>
        <w:pStyle w:val="ListParagraph"/>
        <w:numPr>
          <w:ilvl w:val="0"/>
          <w:numId w:val="1"/>
        </w:numPr>
      </w:pPr>
      <w:r>
        <w:t>Increased representation from Greater Minnesota home visiting providers within the Coalition.</w:t>
      </w:r>
    </w:p>
    <w:p w:rsidR="00635988" w:rsidRDefault="00635988" w:rsidP="00635988">
      <w:pPr>
        <w:pStyle w:val="ListParagraph"/>
        <w:numPr>
          <w:ilvl w:val="0"/>
          <w:numId w:val="1"/>
        </w:numPr>
      </w:pPr>
      <w:r>
        <w:t>Updated data set/data base of home visiting programs (nonprofit, public and tribal) across the state.</w:t>
      </w:r>
    </w:p>
    <w:p w:rsidR="00635988" w:rsidRDefault="00635988" w:rsidP="00635988">
      <w:pPr>
        <w:pStyle w:val="ListParagraph"/>
        <w:numPr>
          <w:ilvl w:val="0"/>
          <w:numId w:val="1"/>
        </w:numPr>
      </w:pPr>
      <w:r>
        <w:t>Dissemination of lessons learned from capacity-building/engagement efforts with home visiting providers, e.g. what are greatest gaps in capacity and identify future policy needs.</w:t>
      </w:r>
    </w:p>
    <w:p w:rsidR="00635988" w:rsidRDefault="00635988" w:rsidP="00635988"/>
    <w:p w:rsidR="00635988" w:rsidRDefault="00635988" w:rsidP="00635988">
      <w:r>
        <w:t>The Coalition will disseminate results, lessons and information on a statewide basis through its current structure; quarterly meetings, committee meetings (Quality &amp; Policy/Legislative), newsletters and action alerts and partner organizations.</w:t>
      </w:r>
    </w:p>
    <w:p w:rsidR="00635988" w:rsidRDefault="00635988"/>
    <w:p w:rsidR="00635988" w:rsidRDefault="00635988">
      <w:r>
        <w:rPr>
          <w:b/>
          <w:u w:val="single"/>
        </w:rPr>
        <w:t>Sheltering Arms Foundation</w:t>
      </w:r>
    </w:p>
    <w:p w:rsidR="00635988" w:rsidRDefault="00635988"/>
    <w:p w:rsidR="00635988" w:rsidRDefault="00635988" w:rsidP="00635988">
      <w:pPr>
        <w:pStyle w:val="NoSpacing"/>
      </w:pPr>
      <w:r>
        <w:t xml:space="preserve">The </w:t>
      </w:r>
      <w:r>
        <w:t>MCTHV received</w:t>
      </w:r>
      <w:r>
        <w:t xml:space="preserve"> funds</w:t>
      </w:r>
      <w:r>
        <w:t xml:space="preserve"> from the Sheltering Arms Foundation</w:t>
      </w:r>
      <w:r>
        <w:t xml:space="preserve"> for its advocacy work in Minnesota. There are two key types of activities the Coalition engages in to make an impact. </w:t>
      </w:r>
    </w:p>
    <w:p w:rsidR="00635988" w:rsidRDefault="00635988" w:rsidP="00635988">
      <w:pPr>
        <w:pStyle w:val="NoSpacing"/>
      </w:pPr>
    </w:p>
    <w:p w:rsidR="00635988" w:rsidRDefault="00635988" w:rsidP="00635988">
      <w:pPr>
        <w:pStyle w:val="NoSpacing"/>
        <w:numPr>
          <w:ilvl w:val="0"/>
          <w:numId w:val="2"/>
        </w:numPr>
      </w:pPr>
      <w:r>
        <w:t xml:space="preserve">The first type of activity is providing expertise on home visiting to partners and other Coalitions who have adopted the Coalition’s legislative platform as part of a greater early childhood initiative. Also, conducting statewide outreach and education to elected officials and candidates on the value and benefits of targeted home visiting services as a strategy for providing families with high needs living in poverty a strong start for success. </w:t>
      </w:r>
    </w:p>
    <w:p w:rsidR="00635988" w:rsidRDefault="00635988" w:rsidP="00635988">
      <w:pPr>
        <w:pStyle w:val="NoSpacing"/>
        <w:ind w:left="720"/>
      </w:pPr>
    </w:p>
    <w:p w:rsidR="00635988" w:rsidRDefault="00635988" w:rsidP="00635988">
      <w:pPr>
        <w:pStyle w:val="NoSpacing"/>
      </w:pPr>
    </w:p>
    <w:p w:rsidR="00635988" w:rsidRDefault="00635988" w:rsidP="00635988">
      <w:pPr>
        <w:pStyle w:val="NoSpacing"/>
        <w:numPr>
          <w:ilvl w:val="0"/>
          <w:numId w:val="2"/>
        </w:numPr>
      </w:pPr>
      <w:r>
        <w:lastRenderedPageBreak/>
        <w:t xml:space="preserve">The second type of activity is beginning to integrate the Coalition’s advocacy strategies and content expertise among other early childhood advocates to support home visiting services for Minnesota families with high needs. Coalition leadership seeks to actively pursue sustainability strategies that could potentially outlast the current structure of the Coalition due to limited resources for advocacy efforts in Minnesota. </w:t>
      </w:r>
    </w:p>
    <w:p w:rsidR="00635988" w:rsidRDefault="00635988" w:rsidP="00635988">
      <w:pPr>
        <w:pStyle w:val="NoSpacing"/>
      </w:pPr>
    </w:p>
    <w:p w:rsidR="00635988" w:rsidRPr="00635988" w:rsidRDefault="00635988" w:rsidP="00635988">
      <w:pPr>
        <w:spacing w:line="240" w:lineRule="auto"/>
        <w:rPr>
          <w:rFonts w:eastAsiaTheme="minorHAnsi" w:cstheme="minorBidi"/>
          <w:szCs w:val="22"/>
        </w:rPr>
      </w:pPr>
      <w:r w:rsidRPr="00635988">
        <w:rPr>
          <w:rFonts w:eastAsiaTheme="minorHAnsi" w:cstheme="minorBidi"/>
          <w:b/>
          <w:szCs w:val="22"/>
        </w:rPr>
        <w:t>Describe short-term outcome 1.</w:t>
      </w:r>
    </w:p>
    <w:p w:rsidR="00635988" w:rsidRPr="00635988" w:rsidRDefault="00635988" w:rsidP="00635988">
      <w:pPr>
        <w:spacing w:line="240" w:lineRule="auto"/>
        <w:rPr>
          <w:rFonts w:eastAsiaTheme="minorHAnsi" w:cstheme="minorBidi"/>
          <w:szCs w:val="22"/>
        </w:rPr>
      </w:pPr>
      <w:r w:rsidRPr="00635988">
        <w:rPr>
          <w:rFonts w:eastAsiaTheme="minorHAnsi" w:cstheme="minorBidi"/>
          <w:szCs w:val="22"/>
        </w:rPr>
        <w:t>Build expertise of other early care advocates about the role of home visiting and benefits to families.</w:t>
      </w:r>
    </w:p>
    <w:p w:rsidR="00635988" w:rsidRPr="00635988" w:rsidRDefault="00635988" w:rsidP="00635988">
      <w:pPr>
        <w:spacing w:line="240" w:lineRule="auto"/>
        <w:rPr>
          <w:rFonts w:eastAsiaTheme="minorHAnsi" w:cstheme="minorBidi"/>
          <w:szCs w:val="22"/>
        </w:rPr>
      </w:pPr>
    </w:p>
    <w:p w:rsidR="00635988" w:rsidRPr="00635988" w:rsidRDefault="00635988" w:rsidP="00635988">
      <w:pPr>
        <w:spacing w:line="240" w:lineRule="auto"/>
        <w:rPr>
          <w:rFonts w:eastAsiaTheme="minorHAnsi" w:cstheme="minorBidi"/>
          <w:szCs w:val="22"/>
        </w:rPr>
      </w:pPr>
      <w:r w:rsidRPr="00635988">
        <w:rPr>
          <w:rFonts w:eastAsiaTheme="minorHAnsi" w:cstheme="minorBidi"/>
          <w:b/>
          <w:szCs w:val="22"/>
        </w:rPr>
        <w:t>Describe the activities</w:t>
      </w:r>
    </w:p>
    <w:p w:rsidR="00635988" w:rsidRPr="00635988" w:rsidRDefault="00635988" w:rsidP="00635988">
      <w:pPr>
        <w:spacing w:line="240" w:lineRule="auto"/>
        <w:rPr>
          <w:rFonts w:eastAsiaTheme="minorHAnsi" w:cstheme="minorBidi"/>
          <w:szCs w:val="22"/>
        </w:rPr>
      </w:pPr>
      <w:r w:rsidRPr="00635988">
        <w:rPr>
          <w:rFonts w:eastAsiaTheme="minorHAnsi" w:cstheme="minorBidi"/>
          <w:szCs w:val="22"/>
        </w:rPr>
        <w:t xml:space="preserve">Provide leadership for </w:t>
      </w:r>
      <w:proofErr w:type="spellStart"/>
      <w:r w:rsidRPr="00635988">
        <w:rPr>
          <w:rFonts w:eastAsiaTheme="minorHAnsi" w:cstheme="minorBidi"/>
          <w:szCs w:val="22"/>
        </w:rPr>
        <w:t>MinneMinds</w:t>
      </w:r>
      <w:proofErr w:type="spellEnd"/>
      <w:r w:rsidRPr="00635988">
        <w:rPr>
          <w:rFonts w:eastAsiaTheme="minorHAnsi" w:cstheme="minorBidi"/>
          <w:szCs w:val="22"/>
        </w:rPr>
        <w:t xml:space="preserve"> prenatal to three policy priorities and promote targeted home visiting, as identified in the Coalition’s policy and legislative position statements.</w:t>
      </w:r>
    </w:p>
    <w:p w:rsidR="00635988" w:rsidRPr="00635988" w:rsidRDefault="00635988" w:rsidP="00635988">
      <w:pPr>
        <w:spacing w:line="240" w:lineRule="auto"/>
        <w:rPr>
          <w:rFonts w:eastAsiaTheme="minorHAnsi" w:cstheme="minorBidi"/>
          <w:szCs w:val="22"/>
        </w:rPr>
      </w:pPr>
    </w:p>
    <w:p w:rsidR="00635988" w:rsidRPr="00635988" w:rsidRDefault="00635988" w:rsidP="00635988">
      <w:pPr>
        <w:spacing w:line="240" w:lineRule="auto"/>
        <w:rPr>
          <w:rFonts w:eastAsiaTheme="minorHAnsi" w:cstheme="minorBidi"/>
          <w:szCs w:val="22"/>
        </w:rPr>
      </w:pPr>
      <w:r w:rsidRPr="00635988">
        <w:rPr>
          <w:rFonts w:eastAsiaTheme="minorHAnsi" w:cstheme="minorBidi"/>
          <w:szCs w:val="22"/>
        </w:rPr>
        <w:t>Partner with early care advocates on home visiting issues, such as the Minnesota PN-3 Coalition, MN Department of Health, and the Children’s Cabinet.</w:t>
      </w:r>
    </w:p>
    <w:p w:rsidR="00635988" w:rsidRPr="00635988" w:rsidRDefault="00635988" w:rsidP="00635988">
      <w:pPr>
        <w:spacing w:line="240" w:lineRule="auto"/>
        <w:rPr>
          <w:rFonts w:eastAsiaTheme="minorHAnsi" w:cstheme="minorBidi"/>
          <w:szCs w:val="22"/>
        </w:rPr>
      </w:pPr>
    </w:p>
    <w:p w:rsidR="00635988" w:rsidRPr="00635988" w:rsidRDefault="00635988" w:rsidP="00635988">
      <w:pPr>
        <w:spacing w:line="240" w:lineRule="auto"/>
        <w:rPr>
          <w:rFonts w:eastAsiaTheme="minorHAnsi" w:cstheme="minorBidi"/>
          <w:szCs w:val="22"/>
        </w:rPr>
      </w:pPr>
      <w:r w:rsidRPr="00635988">
        <w:rPr>
          <w:rFonts w:eastAsiaTheme="minorHAnsi" w:cstheme="minorBidi"/>
          <w:szCs w:val="22"/>
        </w:rPr>
        <w:t>Participate in the statewide Prenatal to Three Coalition, providing expertise to the home visiting component of their policy agenda.</w:t>
      </w:r>
    </w:p>
    <w:p w:rsidR="00635988" w:rsidRPr="00635988" w:rsidRDefault="00635988" w:rsidP="00635988">
      <w:pPr>
        <w:spacing w:line="240" w:lineRule="auto"/>
        <w:rPr>
          <w:rFonts w:eastAsiaTheme="minorHAnsi" w:cstheme="minorBidi"/>
          <w:szCs w:val="22"/>
        </w:rPr>
      </w:pPr>
    </w:p>
    <w:p w:rsidR="00635988" w:rsidRPr="00635988" w:rsidRDefault="00635988" w:rsidP="00635988">
      <w:pPr>
        <w:spacing w:line="240" w:lineRule="auto"/>
        <w:rPr>
          <w:rFonts w:eastAsiaTheme="minorHAnsi" w:cstheme="minorBidi"/>
          <w:szCs w:val="22"/>
        </w:rPr>
      </w:pPr>
      <w:r w:rsidRPr="00635988">
        <w:rPr>
          <w:rFonts w:eastAsiaTheme="minorHAnsi" w:cstheme="minorBidi"/>
          <w:b/>
          <w:szCs w:val="22"/>
        </w:rPr>
        <w:t>Describe the benchmark for this outcome.</w:t>
      </w:r>
    </w:p>
    <w:p w:rsidR="00635988" w:rsidRPr="00635988" w:rsidRDefault="00635988" w:rsidP="00635988">
      <w:pPr>
        <w:spacing w:line="240" w:lineRule="auto"/>
        <w:rPr>
          <w:rFonts w:eastAsiaTheme="minorHAnsi" w:cstheme="minorBidi"/>
          <w:szCs w:val="22"/>
        </w:rPr>
      </w:pPr>
      <w:r w:rsidRPr="00635988">
        <w:rPr>
          <w:rFonts w:eastAsiaTheme="minorHAnsi" w:cstheme="minorBidi"/>
          <w:szCs w:val="22"/>
        </w:rPr>
        <w:t># of advocacy organizations that can arrange testimony and/or support for home visiting services when working with decision-makers.</w:t>
      </w:r>
    </w:p>
    <w:p w:rsidR="00635988" w:rsidRPr="00635988" w:rsidRDefault="00635988" w:rsidP="00635988">
      <w:pPr>
        <w:spacing w:line="240" w:lineRule="auto"/>
        <w:rPr>
          <w:rFonts w:eastAsiaTheme="minorHAnsi" w:cstheme="minorBidi"/>
          <w:szCs w:val="22"/>
        </w:rPr>
      </w:pPr>
    </w:p>
    <w:p w:rsidR="00635988" w:rsidRPr="00635988" w:rsidRDefault="00635988" w:rsidP="00635988">
      <w:pPr>
        <w:spacing w:line="240" w:lineRule="auto"/>
        <w:rPr>
          <w:rFonts w:eastAsiaTheme="minorHAnsi" w:cstheme="minorBidi"/>
          <w:b/>
          <w:szCs w:val="22"/>
        </w:rPr>
      </w:pPr>
      <w:r w:rsidRPr="00635988">
        <w:rPr>
          <w:rFonts w:eastAsiaTheme="minorHAnsi" w:cstheme="minorBidi"/>
          <w:b/>
          <w:szCs w:val="22"/>
        </w:rPr>
        <w:t>What data collection tool will be used to measure progress for this outcome?</w:t>
      </w:r>
    </w:p>
    <w:p w:rsidR="00635988" w:rsidRPr="00635988" w:rsidRDefault="00635988" w:rsidP="00635988">
      <w:pPr>
        <w:spacing w:line="240" w:lineRule="auto"/>
        <w:rPr>
          <w:rFonts w:eastAsiaTheme="minorHAnsi" w:cstheme="minorBidi"/>
          <w:szCs w:val="22"/>
        </w:rPr>
      </w:pPr>
      <w:r w:rsidRPr="00635988">
        <w:rPr>
          <w:rFonts w:eastAsiaTheme="minorHAnsi" w:cstheme="minorBidi"/>
          <w:szCs w:val="22"/>
        </w:rPr>
        <w:t>Testimony for public hearings and agendas from Public Hearings reflecting advocates other than the Coalition.</w:t>
      </w:r>
    </w:p>
    <w:p w:rsidR="00635988" w:rsidRPr="00635988" w:rsidRDefault="00635988" w:rsidP="00635988">
      <w:pPr>
        <w:spacing w:line="240" w:lineRule="auto"/>
        <w:rPr>
          <w:rFonts w:eastAsiaTheme="minorHAnsi" w:cstheme="minorBidi"/>
          <w:szCs w:val="22"/>
        </w:rPr>
      </w:pPr>
    </w:p>
    <w:p w:rsidR="00635988" w:rsidRPr="00635988" w:rsidRDefault="00635988" w:rsidP="00635988">
      <w:pPr>
        <w:spacing w:line="240" w:lineRule="auto"/>
        <w:rPr>
          <w:rFonts w:eastAsiaTheme="minorHAnsi" w:cstheme="minorBidi"/>
          <w:szCs w:val="22"/>
        </w:rPr>
      </w:pPr>
      <w:r w:rsidRPr="00635988">
        <w:rPr>
          <w:rFonts w:eastAsiaTheme="minorHAnsi" w:cstheme="minorBidi"/>
          <w:b/>
          <w:szCs w:val="22"/>
        </w:rPr>
        <w:t>Describe short-term outcome 2.</w:t>
      </w:r>
    </w:p>
    <w:p w:rsidR="00635988" w:rsidRPr="00635988" w:rsidRDefault="00635988" w:rsidP="00635988">
      <w:pPr>
        <w:spacing w:line="240" w:lineRule="auto"/>
        <w:rPr>
          <w:rFonts w:eastAsiaTheme="minorHAnsi" w:cstheme="minorBidi"/>
          <w:szCs w:val="22"/>
        </w:rPr>
      </w:pPr>
      <w:r w:rsidRPr="00635988">
        <w:rPr>
          <w:rFonts w:eastAsiaTheme="minorHAnsi" w:cstheme="minorBidi"/>
          <w:szCs w:val="22"/>
        </w:rPr>
        <w:t>Identify sustainable advocacy strategies for home visiting beyond the Coalition to ensure work continues as advocacy resources decrease in Minnesota.</w:t>
      </w:r>
    </w:p>
    <w:p w:rsidR="00635988" w:rsidRPr="00635988" w:rsidRDefault="00635988" w:rsidP="00635988">
      <w:pPr>
        <w:spacing w:line="240" w:lineRule="auto"/>
        <w:rPr>
          <w:rFonts w:eastAsiaTheme="minorHAnsi" w:cstheme="minorBidi"/>
          <w:szCs w:val="22"/>
        </w:rPr>
      </w:pPr>
    </w:p>
    <w:p w:rsidR="00635988" w:rsidRPr="00635988" w:rsidRDefault="00635988" w:rsidP="00635988">
      <w:pPr>
        <w:spacing w:line="240" w:lineRule="auto"/>
        <w:rPr>
          <w:rFonts w:eastAsiaTheme="minorHAnsi" w:cstheme="minorBidi"/>
          <w:b/>
          <w:szCs w:val="22"/>
        </w:rPr>
      </w:pPr>
      <w:r w:rsidRPr="00635988">
        <w:rPr>
          <w:rFonts w:eastAsiaTheme="minorHAnsi" w:cstheme="minorBidi"/>
          <w:b/>
          <w:szCs w:val="22"/>
        </w:rPr>
        <w:t>Describe the activities</w:t>
      </w:r>
    </w:p>
    <w:p w:rsidR="00635988" w:rsidRPr="00635988" w:rsidRDefault="00635988" w:rsidP="00635988">
      <w:pPr>
        <w:spacing w:line="240" w:lineRule="auto"/>
        <w:rPr>
          <w:rFonts w:eastAsiaTheme="minorHAnsi" w:cstheme="minorBidi"/>
          <w:szCs w:val="22"/>
        </w:rPr>
      </w:pPr>
      <w:r w:rsidRPr="00635988">
        <w:rPr>
          <w:rFonts w:eastAsiaTheme="minorHAnsi" w:cstheme="minorBidi"/>
          <w:szCs w:val="22"/>
        </w:rPr>
        <w:t>The Coalition will work with other early childhood advocates to promote and support home visiting services in Minnesota as part of their larger early childhood strategy.</w:t>
      </w:r>
    </w:p>
    <w:p w:rsidR="00635988" w:rsidRPr="00635988" w:rsidRDefault="00635988" w:rsidP="00635988">
      <w:pPr>
        <w:spacing w:line="240" w:lineRule="auto"/>
        <w:rPr>
          <w:rFonts w:eastAsiaTheme="minorHAnsi" w:cstheme="minorBidi"/>
          <w:szCs w:val="22"/>
        </w:rPr>
      </w:pPr>
    </w:p>
    <w:p w:rsidR="00635988" w:rsidRPr="00635988" w:rsidRDefault="00635988" w:rsidP="00635988">
      <w:pPr>
        <w:spacing w:line="240" w:lineRule="auto"/>
        <w:rPr>
          <w:rFonts w:eastAsiaTheme="minorHAnsi" w:cstheme="minorBidi"/>
          <w:szCs w:val="22"/>
        </w:rPr>
      </w:pPr>
      <w:r w:rsidRPr="00635988">
        <w:rPr>
          <w:rFonts w:eastAsiaTheme="minorHAnsi" w:cstheme="minorBidi"/>
          <w:szCs w:val="22"/>
        </w:rPr>
        <w:t>The Coalition will work with the Governor’s Children’s Cabinet and State Agencies to promote cross-agency support for home visiting services in Minnesota and encourage coordination and collaboration – specifically focusing on new federal Title V resources that are dedicated to home visiting.</w:t>
      </w:r>
    </w:p>
    <w:p w:rsidR="00635988" w:rsidRPr="00635988" w:rsidRDefault="00635988" w:rsidP="00635988">
      <w:pPr>
        <w:spacing w:line="240" w:lineRule="auto"/>
        <w:rPr>
          <w:rFonts w:eastAsiaTheme="minorHAnsi" w:cstheme="minorBidi"/>
          <w:szCs w:val="22"/>
        </w:rPr>
      </w:pPr>
    </w:p>
    <w:p w:rsidR="00635988" w:rsidRPr="00635988" w:rsidRDefault="00635988" w:rsidP="00635988">
      <w:pPr>
        <w:spacing w:line="240" w:lineRule="auto"/>
        <w:rPr>
          <w:rFonts w:eastAsiaTheme="minorHAnsi" w:cstheme="minorBidi"/>
          <w:szCs w:val="22"/>
        </w:rPr>
      </w:pPr>
      <w:r w:rsidRPr="00635988">
        <w:rPr>
          <w:rFonts w:eastAsiaTheme="minorHAnsi" w:cstheme="minorBidi"/>
          <w:b/>
          <w:szCs w:val="22"/>
        </w:rPr>
        <w:t>Describe the benchmark for this outcome.</w:t>
      </w:r>
    </w:p>
    <w:p w:rsidR="00635988" w:rsidRPr="00635988" w:rsidRDefault="00635988" w:rsidP="00635988">
      <w:pPr>
        <w:spacing w:line="240" w:lineRule="auto"/>
        <w:rPr>
          <w:rFonts w:eastAsiaTheme="minorHAnsi" w:cstheme="minorBidi"/>
          <w:szCs w:val="22"/>
        </w:rPr>
      </w:pPr>
      <w:r w:rsidRPr="00635988">
        <w:rPr>
          <w:rFonts w:eastAsiaTheme="minorHAnsi" w:cstheme="minorBidi"/>
          <w:szCs w:val="22"/>
        </w:rPr>
        <w:t># of policy initiatives that include home visiting as a strategy in early childhood programs.</w:t>
      </w:r>
    </w:p>
    <w:p w:rsidR="00635988" w:rsidRPr="00635988" w:rsidRDefault="00635988" w:rsidP="00635988">
      <w:pPr>
        <w:spacing w:line="240" w:lineRule="auto"/>
        <w:rPr>
          <w:rFonts w:eastAsiaTheme="minorHAnsi" w:cstheme="minorBidi"/>
          <w:szCs w:val="22"/>
        </w:rPr>
      </w:pPr>
      <w:r w:rsidRPr="00635988">
        <w:rPr>
          <w:rFonts w:eastAsiaTheme="minorHAnsi" w:cstheme="minorBidi"/>
          <w:szCs w:val="22"/>
        </w:rPr>
        <w:t># state agencies actively supporting home visiting strategies to address families’ needs.</w:t>
      </w:r>
    </w:p>
    <w:p w:rsidR="00635988" w:rsidRPr="00635988" w:rsidRDefault="00635988" w:rsidP="00635988">
      <w:pPr>
        <w:spacing w:line="240" w:lineRule="auto"/>
        <w:rPr>
          <w:rFonts w:eastAsiaTheme="minorHAnsi" w:cstheme="minorBidi"/>
          <w:szCs w:val="22"/>
        </w:rPr>
      </w:pPr>
    </w:p>
    <w:p w:rsidR="00635988" w:rsidRPr="00635988" w:rsidRDefault="00635988" w:rsidP="00635988">
      <w:pPr>
        <w:spacing w:line="240" w:lineRule="auto"/>
        <w:rPr>
          <w:rFonts w:eastAsiaTheme="minorHAnsi" w:cstheme="minorBidi"/>
          <w:b/>
          <w:szCs w:val="22"/>
        </w:rPr>
      </w:pPr>
      <w:r w:rsidRPr="00635988">
        <w:rPr>
          <w:rFonts w:eastAsiaTheme="minorHAnsi" w:cstheme="minorBidi"/>
          <w:b/>
          <w:szCs w:val="22"/>
        </w:rPr>
        <w:t>What data collection tool will be used to measure progress for this outcome?</w:t>
      </w:r>
    </w:p>
    <w:p w:rsidR="00635988" w:rsidRPr="00635988" w:rsidRDefault="00635988" w:rsidP="00635988">
      <w:pPr>
        <w:spacing w:line="240" w:lineRule="auto"/>
        <w:rPr>
          <w:rFonts w:eastAsiaTheme="minorHAnsi" w:cstheme="minorBidi"/>
          <w:szCs w:val="22"/>
        </w:rPr>
      </w:pPr>
      <w:r w:rsidRPr="00635988">
        <w:rPr>
          <w:rFonts w:eastAsiaTheme="minorHAnsi" w:cstheme="minorBidi"/>
          <w:szCs w:val="22"/>
        </w:rPr>
        <w:t>Tracking partners’ policy initiatives.</w:t>
      </w:r>
    </w:p>
    <w:p w:rsidR="00635988" w:rsidRPr="00635988" w:rsidRDefault="00635988" w:rsidP="00635988">
      <w:pPr>
        <w:spacing w:line="240" w:lineRule="auto"/>
        <w:rPr>
          <w:rFonts w:eastAsiaTheme="minorHAnsi" w:cstheme="minorBidi"/>
          <w:szCs w:val="22"/>
        </w:rPr>
      </w:pPr>
    </w:p>
    <w:p w:rsidR="00635988" w:rsidRPr="00635988" w:rsidRDefault="00635988" w:rsidP="00635988">
      <w:pPr>
        <w:spacing w:line="240" w:lineRule="auto"/>
        <w:rPr>
          <w:rFonts w:eastAsiaTheme="minorHAnsi" w:cstheme="minorBidi"/>
          <w:szCs w:val="22"/>
        </w:rPr>
      </w:pPr>
      <w:r w:rsidRPr="00635988">
        <w:rPr>
          <w:rFonts w:eastAsiaTheme="minorHAnsi" w:cstheme="minorBidi"/>
          <w:szCs w:val="22"/>
        </w:rPr>
        <w:t>Tracking agency coordination through the Children’s Cabinet and/or Early Childhood System reform resources, which are expected to be available in 2019.</w:t>
      </w:r>
    </w:p>
    <w:p w:rsidR="00635988" w:rsidRPr="00635988" w:rsidRDefault="00635988" w:rsidP="00635988">
      <w:pPr>
        <w:spacing w:line="240" w:lineRule="auto"/>
        <w:rPr>
          <w:rFonts w:eastAsia="Calibri,Times New Roman" w:cs="Calibri,Times New Roman"/>
          <w:sz w:val="20"/>
        </w:rPr>
      </w:pPr>
    </w:p>
    <w:p w:rsidR="00635988" w:rsidRPr="00635988" w:rsidRDefault="00635988" w:rsidP="00635988">
      <w:pPr>
        <w:spacing w:line="240" w:lineRule="auto"/>
        <w:rPr>
          <w:rFonts w:eastAsiaTheme="minorHAnsi" w:cstheme="minorBidi"/>
          <w:szCs w:val="22"/>
        </w:rPr>
      </w:pPr>
    </w:p>
    <w:p w:rsidR="00635988" w:rsidRPr="00635988" w:rsidRDefault="00635988" w:rsidP="00635988">
      <w:pPr>
        <w:spacing w:line="240" w:lineRule="auto"/>
        <w:rPr>
          <w:rFonts w:eastAsiaTheme="minorHAnsi" w:cstheme="minorBidi"/>
          <w:szCs w:val="22"/>
        </w:rPr>
      </w:pPr>
      <w:r w:rsidRPr="00635988">
        <w:rPr>
          <w:rFonts w:eastAsiaTheme="minorHAnsi" w:cstheme="minorBidi"/>
          <w:b/>
          <w:szCs w:val="22"/>
        </w:rPr>
        <w:t>Describe long-term goal 1.</w:t>
      </w:r>
    </w:p>
    <w:p w:rsidR="00635988" w:rsidRPr="00635988" w:rsidRDefault="00635988" w:rsidP="00635988">
      <w:pPr>
        <w:spacing w:line="240" w:lineRule="auto"/>
        <w:rPr>
          <w:rFonts w:eastAsiaTheme="minorHAnsi" w:cstheme="minorBidi"/>
          <w:szCs w:val="22"/>
        </w:rPr>
      </w:pPr>
      <w:r w:rsidRPr="00635988">
        <w:rPr>
          <w:rFonts w:eastAsiaTheme="minorHAnsi" w:cstheme="minorBidi"/>
          <w:szCs w:val="22"/>
        </w:rPr>
        <w:t>Protect state and federal home visiting investments and seek additional flexibility with funds. Increase funding for home visiting services for families living in poverty (up to 185% of poverty).</w:t>
      </w:r>
    </w:p>
    <w:p w:rsidR="00635988" w:rsidRPr="00635988" w:rsidRDefault="00635988" w:rsidP="00635988">
      <w:pPr>
        <w:spacing w:line="240" w:lineRule="auto"/>
        <w:rPr>
          <w:rFonts w:eastAsiaTheme="minorHAnsi" w:cstheme="minorBidi"/>
          <w:szCs w:val="22"/>
        </w:rPr>
      </w:pPr>
    </w:p>
    <w:p w:rsidR="00635988" w:rsidRPr="00635988" w:rsidRDefault="00635988" w:rsidP="00635988">
      <w:pPr>
        <w:spacing w:line="240" w:lineRule="auto"/>
        <w:rPr>
          <w:rFonts w:eastAsiaTheme="minorHAnsi" w:cstheme="minorBidi"/>
          <w:b/>
          <w:szCs w:val="22"/>
        </w:rPr>
      </w:pPr>
      <w:r w:rsidRPr="00635988">
        <w:rPr>
          <w:rFonts w:eastAsiaTheme="minorHAnsi" w:cstheme="minorBidi"/>
          <w:b/>
          <w:szCs w:val="22"/>
        </w:rPr>
        <w:t>Describe the activities</w:t>
      </w:r>
    </w:p>
    <w:p w:rsidR="00635988" w:rsidRPr="00635988" w:rsidRDefault="00635988" w:rsidP="00635988">
      <w:pPr>
        <w:spacing w:line="240" w:lineRule="auto"/>
        <w:rPr>
          <w:rFonts w:eastAsiaTheme="minorHAnsi" w:cstheme="minorBidi"/>
          <w:szCs w:val="22"/>
        </w:rPr>
      </w:pPr>
      <w:r w:rsidRPr="00635988">
        <w:rPr>
          <w:rFonts w:eastAsiaTheme="minorHAnsi" w:cstheme="minorBidi"/>
          <w:szCs w:val="22"/>
        </w:rPr>
        <w:t xml:space="preserve">The Coalition will work with staff or lobbyist (when resources are available) to assist in its lobbying efforts at state legislature. We will work with Coalition partners to communicate regularly and consistently with state and local elected officials. </w:t>
      </w:r>
    </w:p>
    <w:p w:rsidR="00635988" w:rsidRPr="00635988" w:rsidRDefault="00635988" w:rsidP="00635988">
      <w:pPr>
        <w:spacing w:line="240" w:lineRule="auto"/>
        <w:rPr>
          <w:rFonts w:eastAsiaTheme="minorHAnsi" w:cstheme="minorBidi"/>
          <w:szCs w:val="22"/>
        </w:rPr>
      </w:pPr>
    </w:p>
    <w:p w:rsidR="00635988" w:rsidRPr="00635988" w:rsidRDefault="00635988" w:rsidP="00635988">
      <w:pPr>
        <w:spacing w:line="240" w:lineRule="auto"/>
        <w:rPr>
          <w:rFonts w:eastAsiaTheme="minorHAnsi" w:cstheme="minorBidi"/>
          <w:szCs w:val="22"/>
        </w:rPr>
      </w:pPr>
      <w:r w:rsidRPr="00635988">
        <w:rPr>
          <w:rFonts w:eastAsiaTheme="minorHAnsi" w:cstheme="minorBidi"/>
          <w:szCs w:val="22"/>
        </w:rPr>
        <w:t>The Coalition will work with the Governor’s Children’s Cabinet and State Agencies to promote cross-agency support for home visiting services in Minnesota and encourage coordination and collaboration – specifically focusing on new federal Title V resources that are dedicated to home visiting.</w:t>
      </w:r>
    </w:p>
    <w:p w:rsidR="00635988" w:rsidRPr="00635988" w:rsidRDefault="00635988" w:rsidP="00635988">
      <w:pPr>
        <w:spacing w:line="240" w:lineRule="auto"/>
        <w:rPr>
          <w:rFonts w:eastAsiaTheme="minorHAnsi" w:cstheme="minorBidi"/>
          <w:b/>
          <w:szCs w:val="22"/>
        </w:rPr>
      </w:pPr>
    </w:p>
    <w:p w:rsidR="00635988" w:rsidRPr="00635988" w:rsidRDefault="00635988" w:rsidP="00635988">
      <w:pPr>
        <w:spacing w:line="240" w:lineRule="auto"/>
        <w:rPr>
          <w:rFonts w:eastAsiaTheme="minorHAnsi" w:cstheme="minorBidi"/>
          <w:sz w:val="20"/>
        </w:rPr>
      </w:pPr>
      <w:r w:rsidRPr="00635988">
        <w:rPr>
          <w:rFonts w:eastAsiaTheme="minorHAnsi" w:cstheme="minorBidi"/>
          <w:b/>
          <w:szCs w:val="22"/>
        </w:rPr>
        <w:t>Describe the benchmark for this outcome.</w:t>
      </w:r>
    </w:p>
    <w:p w:rsidR="00635988" w:rsidRPr="00635988" w:rsidRDefault="00635988" w:rsidP="00635988">
      <w:pPr>
        <w:spacing w:line="240" w:lineRule="auto"/>
        <w:rPr>
          <w:rFonts w:eastAsiaTheme="minorHAnsi" w:cstheme="minorBidi"/>
          <w:szCs w:val="22"/>
        </w:rPr>
      </w:pPr>
      <w:r w:rsidRPr="00635988">
        <w:rPr>
          <w:rFonts w:eastAsiaTheme="minorHAnsi" w:cstheme="minorBidi"/>
          <w:szCs w:val="22"/>
        </w:rPr>
        <w:t>Home visiting funds will be flexible to best meet the diverse needs of families.</w:t>
      </w:r>
    </w:p>
    <w:p w:rsidR="00635988" w:rsidRPr="00635988" w:rsidRDefault="00635988" w:rsidP="00635988">
      <w:pPr>
        <w:spacing w:line="240" w:lineRule="auto"/>
        <w:rPr>
          <w:rFonts w:eastAsiaTheme="minorHAnsi" w:cstheme="minorBidi"/>
          <w:szCs w:val="22"/>
        </w:rPr>
      </w:pPr>
      <w:r w:rsidRPr="00635988">
        <w:rPr>
          <w:rFonts w:eastAsiaTheme="minorHAnsi" w:cstheme="minorBidi"/>
          <w:szCs w:val="22"/>
        </w:rPr>
        <w:t xml:space="preserve">New investments to serve an additional 2,856 families over the next two </w:t>
      </w:r>
      <w:proofErr w:type="gramStart"/>
      <w:r w:rsidRPr="00635988">
        <w:rPr>
          <w:rFonts w:eastAsiaTheme="minorHAnsi" w:cstheme="minorBidi"/>
          <w:szCs w:val="22"/>
        </w:rPr>
        <w:t>biennium</w:t>
      </w:r>
      <w:proofErr w:type="gramEnd"/>
      <w:r w:rsidRPr="00635988">
        <w:rPr>
          <w:rFonts w:eastAsiaTheme="minorHAnsi" w:cstheme="minorBidi"/>
          <w:szCs w:val="22"/>
        </w:rPr>
        <w:t>. An additional $23 million in 2020, $41.6 million in 2021 and $56.5 million in the base beginning 2022.</w:t>
      </w:r>
    </w:p>
    <w:p w:rsidR="00635988" w:rsidRPr="00635988" w:rsidRDefault="00635988" w:rsidP="00635988">
      <w:pPr>
        <w:spacing w:after="160" w:line="259" w:lineRule="auto"/>
        <w:rPr>
          <w:rFonts w:eastAsiaTheme="minorHAnsi" w:cstheme="minorBidi"/>
          <w:b/>
          <w:sz w:val="20"/>
        </w:rPr>
      </w:pPr>
    </w:p>
    <w:p w:rsidR="00635988" w:rsidRPr="00635988" w:rsidRDefault="00635988" w:rsidP="00635988">
      <w:pPr>
        <w:spacing w:line="240" w:lineRule="auto"/>
        <w:rPr>
          <w:rFonts w:eastAsiaTheme="minorHAnsi" w:cstheme="minorBidi"/>
          <w:b/>
          <w:szCs w:val="22"/>
        </w:rPr>
      </w:pPr>
      <w:r w:rsidRPr="00635988">
        <w:rPr>
          <w:rFonts w:eastAsiaTheme="minorHAnsi" w:cstheme="minorBidi"/>
          <w:b/>
          <w:szCs w:val="22"/>
        </w:rPr>
        <w:t>What data collection tool will be used to measure progress for this outcome?</w:t>
      </w:r>
    </w:p>
    <w:p w:rsidR="00635988" w:rsidRPr="00635988" w:rsidRDefault="00635988" w:rsidP="00635988">
      <w:pPr>
        <w:spacing w:after="160" w:line="259" w:lineRule="auto"/>
        <w:rPr>
          <w:rFonts w:eastAsiaTheme="minorHAnsi" w:cstheme="minorBidi"/>
          <w:sz w:val="20"/>
        </w:rPr>
      </w:pPr>
      <w:r w:rsidRPr="00635988">
        <w:rPr>
          <w:rFonts w:eastAsiaTheme="minorHAnsi" w:cstheme="minorBidi"/>
          <w:sz w:val="20"/>
        </w:rPr>
        <w:t>Legislation, budget spreadsheet, and legislative summaries will be tracked.</w:t>
      </w:r>
    </w:p>
    <w:p w:rsidR="00635988" w:rsidRPr="00635988" w:rsidRDefault="00635988" w:rsidP="00635988">
      <w:pPr>
        <w:pStyle w:val="NoSpacing"/>
      </w:pPr>
    </w:p>
    <w:sectPr w:rsidR="00635988" w:rsidRPr="00635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53BBB"/>
    <w:multiLevelType w:val="hybridMultilevel"/>
    <w:tmpl w:val="BC327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D324EB"/>
    <w:multiLevelType w:val="hybridMultilevel"/>
    <w:tmpl w:val="9B94E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88"/>
    <w:rsid w:val="00635988"/>
    <w:rsid w:val="00D4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701B"/>
  <w15:chartTrackingRefBased/>
  <w15:docId w15:val="{3B399C97-9A3F-4D5C-ACD5-FC90115B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988"/>
    <w:pPr>
      <w:spacing w:after="0" w:line="240" w:lineRule="atLeast"/>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635988"/>
  </w:style>
  <w:style w:type="paragraph" w:styleId="NoSpacing">
    <w:name w:val="No Spacing"/>
    <w:uiPriority w:val="1"/>
    <w:qFormat/>
    <w:rsid w:val="006359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Quist</dc:creator>
  <cp:keywords/>
  <dc:description/>
  <cp:lastModifiedBy>Beth Quist</cp:lastModifiedBy>
  <cp:revision>1</cp:revision>
  <dcterms:created xsi:type="dcterms:W3CDTF">2019-07-29T16:08:00Z</dcterms:created>
  <dcterms:modified xsi:type="dcterms:W3CDTF">2019-07-29T16:28:00Z</dcterms:modified>
</cp:coreProperties>
</file>